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2B" w:rsidRDefault="00883D2B">
      <w:r>
        <w:t xml:space="preserve"> </w:t>
      </w:r>
      <w:r>
        <w:t xml:space="preserve"> </w:t>
      </w:r>
    </w:p>
    <w:p w:rsidR="00883D2B" w:rsidRDefault="00883D2B"/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1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Sınıf Yıllık Çalışma Programı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2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Yönetmelik ( Sınıf Öğretmenin Görevleri )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3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Rehberlik Faaliyetleri Özet Bilgi Formu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4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Sınıf Listesi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5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Oturma Planı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6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Sosyal Kulüplerde Görev Alan Öğrencilerin Listesi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7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Öğrenci Tanıma Fişleri ( Her Bir Öğrenci İçin Ayrı Bir Poşet Dosya İçinde) </w:t>
      </w:r>
    </w:p>
    <w:p w:rsidR="00883D2B" w:rsidRPr="000B580D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8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Uygulanan Rehberlik Tekniklerinin Uygulama Kayıtları ( Her Bir Öğrencinin Poşet Dosyasına Konulacak) </w:t>
      </w:r>
    </w:p>
    <w:p w:rsidR="00EC03FF" w:rsidRDefault="00883D2B">
      <w:pPr>
        <w:rPr>
          <w:sz w:val="28"/>
          <w:szCs w:val="28"/>
        </w:rPr>
      </w:pPr>
      <w:r w:rsidRPr="000B580D">
        <w:rPr>
          <w:sz w:val="28"/>
          <w:szCs w:val="28"/>
        </w:rPr>
        <w:t>9</w:t>
      </w:r>
      <w:r w:rsidR="000B580D">
        <w:rPr>
          <w:sz w:val="28"/>
          <w:szCs w:val="28"/>
        </w:rPr>
        <w:t>.</w:t>
      </w:r>
      <w:r w:rsidRPr="000B580D">
        <w:rPr>
          <w:sz w:val="28"/>
          <w:szCs w:val="28"/>
        </w:rPr>
        <w:t xml:space="preserve"> Sınıf Rehberlik Programı Ekleri</w:t>
      </w:r>
      <w:r w:rsidR="000B580D" w:rsidRPr="000B580D">
        <w:rPr>
          <w:sz w:val="28"/>
          <w:szCs w:val="28"/>
        </w:rPr>
        <w:t xml:space="preserve"> </w:t>
      </w:r>
    </w:p>
    <w:p w:rsidR="00EC03FF" w:rsidRDefault="00EC03FF">
      <w:proofErr w:type="gramStart"/>
      <w:r>
        <w:rPr>
          <w:sz w:val="28"/>
          <w:szCs w:val="28"/>
        </w:rPr>
        <w:t>(</w:t>
      </w:r>
      <w:proofErr w:type="gramEnd"/>
      <w:r>
        <w:t>- Yıllık rehberlik çalışma planına yapılan değişiklikler (eklemeler ya da çıkarmalar)</w:t>
      </w:r>
    </w:p>
    <w:p w:rsidR="004162BE" w:rsidRPr="000B580D" w:rsidRDefault="00EC03FF">
      <w:pPr>
        <w:rPr>
          <w:sz w:val="28"/>
          <w:szCs w:val="28"/>
        </w:rPr>
      </w:pPr>
      <w:r>
        <w:t xml:space="preserve"> - Yapılan seminerler, sunular, toplantılar, tutanaklar vs.</w:t>
      </w:r>
      <w:proofErr w:type="gramStart"/>
      <w:r>
        <w:t>)</w:t>
      </w:r>
      <w:proofErr w:type="gramEnd"/>
    </w:p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Default="00883D2B"/>
    <w:p w:rsidR="00883D2B" w:rsidRPr="000B580D" w:rsidRDefault="00883D2B" w:rsidP="00883D2B">
      <w:pPr>
        <w:jc w:val="center"/>
        <w:rPr>
          <w:b/>
          <w:sz w:val="26"/>
          <w:szCs w:val="26"/>
        </w:rPr>
      </w:pPr>
      <w:r w:rsidRPr="000B580D">
        <w:rPr>
          <w:b/>
          <w:sz w:val="26"/>
          <w:szCs w:val="26"/>
        </w:rPr>
        <w:lastRenderedPageBreak/>
        <w:t>Sınıf Rehber Öğretmeninin Görevleri</w:t>
      </w:r>
    </w:p>
    <w:p w:rsidR="00883D2B" w:rsidRPr="000B580D" w:rsidRDefault="00883D2B" w:rsidP="00883D2B">
      <w:pPr>
        <w:jc w:val="center"/>
        <w:rPr>
          <w:b/>
          <w:sz w:val="26"/>
          <w:szCs w:val="26"/>
        </w:rPr>
      </w:pPr>
      <w:r w:rsidRPr="000B580D">
        <w:rPr>
          <w:sz w:val="26"/>
          <w:szCs w:val="26"/>
        </w:rPr>
        <w:t>MİLLÎ EĞİTİM BAKANLIĞI REHBERLİK VE PSİKOLOJİK DANIŞMA HİZMETLERİ YÖNETMELİĞİ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b/>
          <w:sz w:val="26"/>
          <w:szCs w:val="26"/>
        </w:rPr>
        <w:t>Madde 51</w:t>
      </w:r>
      <w:r w:rsidRPr="000B580D">
        <w:rPr>
          <w:sz w:val="26"/>
          <w:szCs w:val="26"/>
        </w:rPr>
        <w:t xml:space="preserve"> </w:t>
      </w:r>
      <w:r w:rsidRPr="000B580D">
        <w:rPr>
          <w:sz w:val="26"/>
          <w:szCs w:val="26"/>
        </w:rPr>
        <w:softHyphen/>
        <w:t xml:space="preserve"> Sınıf rehber öğretmeni aşağıdaki görevleri yapar: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 xml:space="preserve"> a) Okulun rehberlik ve psikolojik danışma programı çerçevesinde sınıfın yıllık çalışmalarını plânlar ve bu plânlamanın bir örneğini rehberlik ve psikolojik danışma servisine verir. 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>b) Rehberlik için ayrılan sürede sınıfa girer. Sınıf rehberlik çalışmaları kapsamında eğitsel ve meslekî rehberlik etkinliklerini, rehberlik ve psikolojik danışma hizmetleri servisinin organizasyonu ve rehberliğinde yürütür.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 xml:space="preserve"> c) Sınıfındaki öğrencilerin öğrenci gelişim dosyalarının tutulmasında, rehberlik ve psikolojik danışma hizmetleri servisiyle iş birliği yapar. 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 xml:space="preserve">d) Sınıfa yeni gelen Öğrencilerin gelişim dosyalarını rehberlik ve psikolojik danışma servisi ile iş birliği içinde inceler, değerlendirir. 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 xml:space="preserve">e) Çalışmalarda öğrenci hakkında topladığı bilgilerden özel ve kişisel olanların gizliliğini korur. 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 xml:space="preserve">f) Sınıfıyla ilgili çalışmalarını, ihtiyaç ve önerilerini belirten bir raporu ders yılı sonunda ilk hafta içinde rehberlik ve psikolojik danışma hizmetleri servisine iletir. 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sz w:val="26"/>
          <w:szCs w:val="26"/>
        </w:rPr>
        <w:t xml:space="preserve">g) Öğrencilerin ilgi, yetenek ve akademik başarıları doğrultusunda eğitsel kollara yöneltilmeleri konusunda psikolojik danışmanla iş birliği yapar. </w:t>
      </w:r>
    </w:p>
    <w:p w:rsidR="00883D2B" w:rsidRPr="000B580D" w:rsidRDefault="00883D2B" w:rsidP="00883D2B">
      <w:pPr>
        <w:rPr>
          <w:sz w:val="26"/>
          <w:szCs w:val="26"/>
        </w:rPr>
      </w:pPr>
      <w:r w:rsidRPr="000B580D">
        <w:rPr>
          <w:sz w:val="26"/>
          <w:szCs w:val="26"/>
        </w:rPr>
        <w:t>h) Okul müdürünün vereceği, hizmetle ilgili diğer görevleri yapar. İlköğretimde 1'inci sınıftan 5'inci sınıfa kadar olan sınıfları okutan öğretmenler de bu görevleri kendi sınıf</w:t>
      </w:r>
      <w:r w:rsidRPr="000B580D">
        <w:rPr>
          <w:sz w:val="26"/>
          <w:szCs w:val="26"/>
        </w:rPr>
        <w:t xml:space="preserve">larında; üst sınıflardaki sınıf </w:t>
      </w:r>
      <w:r w:rsidRPr="000B580D">
        <w:rPr>
          <w:sz w:val="26"/>
          <w:szCs w:val="26"/>
        </w:rPr>
        <w:t xml:space="preserve">rehber öğretmenleri gibi, öğrencilerinin yaş, gelişim, eğitim durumları, bireysel özellikleri ve gereksinimleri doğrultusunda, rehberlik ve psikolojik danışma servisinin eş güdümünde yürütürler. </w:t>
      </w:r>
    </w:p>
    <w:p w:rsidR="00883D2B" w:rsidRPr="000B580D" w:rsidRDefault="00883D2B" w:rsidP="00883D2B">
      <w:pPr>
        <w:jc w:val="center"/>
        <w:rPr>
          <w:sz w:val="26"/>
          <w:szCs w:val="26"/>
        </w:rPr>
      </w:pPr>
      <w:r w:rsidRPr="000B580D">
        <w:rPr>
          <w:b/>
          <w:sz w:val="26"/>
          <w:szCs w:val="26"/>
        </w:rPr>
        <w:t>Diğer Öğretmenler</w:t>
      </w:r>
    </w:p>
    <w:p w:rsidR="00883D2B" w:rsidRPr="000B580D" w:rsidRDefault="00883D2B">
      <w:pPr>
        <w:rPr>
          <w:sz w:val="26"/>
          <w:szCs w:val="26"/>
        </w:rPr>
      </w:pPr>
      <w:r w:rsidRPr="000B580D">
        <w:rPr>
          <w:b/>
          <w:sz w:val="26"/>
          <w:szCs w:val="26"/>
        </w:rPr>
        <w:t>Madde 52</w:t>
      </w:r>
      <w:r w:rsidRPr="000B580D">
        <w:rPr>
          <w:sz w:val="26"/>
          <w:szCs w:val="26"/>
        </w:rPr>
        <w:t xml:space="preserve"> </w:t>
      </w:r>
      <w:r w:rsidRPr="000B580D">
        <w:rPr>
          <w:sz w:val="26"/>
          <w:szCs w:val="26"/>
        </w:rPr>
        <w:softHyphen/>
        <w:t xml:space="preserve"> Sınıf rehber öğretmenliği görevi olmayan öğretmenler de gerektiğinde rehberlik ve psikolojik danışma hizmetleri servisinin plânlama ve eş güdümüyle çalışmalara yardımcı olurlar. Okul Müdürünün vereceği, rehberlikle ilgili görevleri yerine getirirler.</w:t>
      </w:r>
    </w:p>
    <w:p w:rsidR="000B580D" w:rsidRDefault="000B580D"/>
    <w:p w:rsidR="000B580D" w:rsidRPr="000B580D" w:rsidRDefault="000B580D">
      <w:pPr>
        <w:rPr>
          <w:sz w:val="24"/>
          <w:szCs w:val="24"/>
        </w:rPr>
      </w:pPr>
      <w:r w:rsidRPr="000B580D">
        <w:rPr>
          <w:sz w:val="24"/>
          <w:szCs w:val="24"/>
        </w:rPr>
        <w:lastRenderedPageBreak/>
        <w:t>UYGULANAN REHBERLİK TEKNİKLERİ KAYITLARI</w:t>
      </w:r>
    </w:p>
    <w:p w:rsidR="000B580D" w:rsidRPr="000B580D" w:rsidRDefault="000B580D">
      <w:pPr>
        <w:rPr>
          <w:sz w:val="24"/>
          <w:szCs w:val="24"/>
        </w:rPr>
      </w:pPr>
      <w:r w:rsidRPr="000B580D">
        <w:rPr>
          <w:sz w:val="24"/>
          <w:szCs w:val="24"/>
        </w:rPr>
        <w:t xml:space="preserve">Bu çalışmaları yaparken temel ilkenin bireyin kendisini tanımasına yardım etmek olduğunu unutmayınız. Bireyi tanıma teknikleri bir araçtır, araç uygulamak amaç haline getirilmemelidir. Sonuçları </w:t>
      </w:r>
      <w:proofErr w:type="gramStart"/>
      <w:r w:rsidRPr="000B580D">
        <w:rPr>
          <w:sz w:val="24"/>
          <w:szCs w:val="24"/>
        </w:rPr>
        <w:t>kullanılmayan , bireyin</w:t>
      </w:r>
      <w:proofErr w:type="gramEnd"/>
      <w:r w:rsidRPr="000B580D">
        <w:rPr>
          <w:sz w:val="24"/>
          <w:szCs w:val="24"/>
        </w:rPr>
        <w:t xml:space="preserve"> kendini daha gerçekçi ve doğru olarak tanımasına yardım amacı ile sonuçları bireyle paylaşılmayan hiçbir tekniğin değeri yoktur. Uyguladığınız test, anket, </w:t>
      </w:r>
      <w:proofErr w:type="gramStart"/>
      <w:r w:rsidRPr="000B580D">
        <w:rPr>
          <w:sz w:val="24"/>
          <w:szCs w:val="24"/>
        </w:rPr>
        <w:t>envanterin</w:t>
      </w:r>
      <w:proofErr w:type="gramEnd"/>
      <w:r w:rsidRPr="000B580D">
        <w:rPr>
          <w:sz w:val="24"/>
          <w:szCs w:val="24"/>
        </w:rPr>
        <w:t xml:space="preserve"> genel değerlendirmesini en kısa sürede yapınız, sonuçlarla ilgili yapılan çalışmaları kayıt altına alarak bu dosyaya koyunuz. </w:t>
      </w:r>
    </w:p>
    <w:p w:rsidR="000B580D" w:rsidRPr="000B580D" w:rsidRDefault="000B580D">
      <w:pPr>
        <w:rPr>
          <w:sz w:val="24"/>
          <w:szCs w:val="24"/>
        </w:rPr>
      </w:pPr>
      <w:r w:rsidRPr="000B580D">
        <w:rPr>
          <w:sz w:val="24"/>
          <w:szCs w:val="24"/>
        </w:rPr>
        <w:t xml:space="preserve">Öğrencilerin test, anket, </w:t>
      </w:r>
      <w:proofErr w:type="gramStart"/>
      <w:r w:rsidRPr="000B580D">
        <w:rPr>
          <w:sz w:val="24"/>
          <w:szCs w:val="24"/>
        </w:rPr>
        <w:t>envanter</w:t>
      </w:r>
      <w:proofErr w:type="gramEnd"/>
      <w:r w:rsidRPr="000B580D">
        <w:rPr>
          <w:sz w:val="24"/>
          <w:szCs w:val="24"/>
        </w:rPr>
        <w:t xml:space="preserve"> kayıtlarını (uygulama, sonuç ve değerlendirme) kişisel dosyasında muhafaza ediniz. Kişisel dosyadan; öğrenci tanıma ve bilgi formunun bulunduğu, öğrencinin katıldığı rehberlik faaliyetleri ile ilgili özel ve gizli olmayan kişisel verilerin konulduğu dosya anlaşılmalıdır. Oluşturulan bu dosyadaki bilgiler öğrencinin mezuniyetine kadar muhafaza edilmelidir.</w:t>
      </w:r>
    </w:p>
    <w:p w:rsidR="000B580D" w:rsidRDefault="000B580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B580D" w:rsidTr="000B580D">
        <w:tc>
          <w:tcPr>
            <w:tcW w:w="2303" w:type="dxa"/>
          </w:tcPr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>Uygulanan Bireyi</w:t>
            </w:r>
          </w:p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>Tanıma Tekniği</w:t>
            </w:r>
          </w:p>
        </w:tc>
        <w:tc>
          <w:tcPr>
            <w:tcW w:w="2303" w:type="dxa"/>
          </w:tcPr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>Uygulayıcı</w:t>
            </w:r>
          </w:p>
        </w:tc>
        <w:tc>
          <w:tcPr>
            <w:tcW w:w="2303" w:type="dxa"/>
          </w:tcPr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>Uygulama</w:t>
            </w:r>
          </w:p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>Tarihi</w:t>
            </w:r>
          </w:p>
        </w:tc>
        <w:tc>
          <w:tcPr>
            <w:tcW w:w="2303" w:type="dxa"/>
          </w:tcPr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 xml:space="preserve">Değerlendirme </w:t>
            </w:r>
          </w:p>
          <w:p w:rsidR="000B580D" w:rsidRPr="000B580D" w:rsidRDefault="000B580D">
            <w:pPr>
              <w:rPr>
                <w:sz w:val="28"/>
                <w:szCs w:val="28"/>
              </w:rPr>
            </w:pPr>
            <w:r w:rsidRPr="000B580D">
              <w:rPr>
                <w:sz w:val="28"/>
                <w:szCs w:val="28"/>
              </w:rPr>
              <w:t>Tarihi</w:t>
            </w:r>
          </w:p>
        </w:tc>
      </w:tr>
      <w:tr w:rsidR="000B580D" w:rsidTr="000B580D"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</w:tr>
      <w:tr w:rsidR="000B580D" w:rsidTr="000B580D"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</w:tr>
      <w:tr w:rsidR="000B580D" w:rsidTr="000B580D"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</w:tr>
      <w:tr w:rsidR="000B580D" w:rsidTr="000B580D"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</w:tr>
      <w:tr w:rsidR="000B580D" w:rsidTr="000B580D"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</w:tr>
      <w:tr w:rsidR="000B580D" w:rsidTr="000B580D"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  <w:tc>
          <w:tcPr>
            <w:tcW w:w="2303" w:type="dxa"/>
          </w:tcPr>
          <w:p w:rsidR="000B580D" w:rsidRDefault="000B580D"/>
        </w:tc>
      </w:tr>
    </w:tbl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0B580D" w:rsidRDefault="000B580D"/>
    <w:p w:rsidR="00883D2B" w:rsidRDefault="00EC03FF">
      <w:r>
        <w:rPr>
          <w:noProof/>
          <w:lang w:eastAsia="tr-TR"/>
        </w:rPr>
        <w:lastRenderedPageBreak/>
        <w:drawing>
          <wp:inline distT="0" distB="0" distL="0" distR="0" wp14:anchorId="5E441284" wp14:editId="748730E2">
            <wp:extent cx="6143625" cy="8195157"/>
            <wp:effectExtent l="0" t="0" r="0" b="0"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1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B8" w:rsidRDefault="00D64FB8"/>
    <w:p w:rsidR="00D64FB8" w:rsidRDefault="00D64FB8"/>
    <w:p w:rsidR="00D64FB8" w:rsidRDefault="00D64FB8">
      <w:r>
        <w:rPr>
          <w:noProof/>
          <w:lang w:eastAsia="tr-TR"/>
        </w:rPr>
        <w:lastRenderedPageBreak/>
        <w:drawing>
          <wp:inline distT="0" distB="0" distL="0" distR="0" wp14:anchorId="2A3A2807" wp14:editId="141E50CA">
            <wp:extent cx="8848725" cy="5857774"/>
            <wp:effectExtent l="9843" t="0" r="317" b="318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56071" cy="586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3FF" w:rsidRDefault="004E690B" w:rsidP="004E690B">
      <w:pPr>
        <w:jc w:val="center"/>
      </w:pPr>
      <w:r>
        <w:lastRenderedPageBreak/>
        <w:t>SOSYAL KULÜPLERDE GÖREVLİ ÖĞRENCİLER VE GÖREVLERİ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20"/>
        <w:gridCol w:w="960"/>
        <w:gridCol w:w="3248"/>
        <w:gridCol w:w="1984"/>
        <w:gridCol w:w="2410"/>
      </w:tblGrid>
      <w:tr w:rsidR="004E690B" w:rsidRPr="004E690B" w:rsidTr="004E690B">
        <w:trPr>
          <w:trHeight w:val="6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No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Ok.No</w:t>
            </w:r>
            <w:proofErr w:type="spellEnd"/>
            <w:proofErr w:type="gramEnd"/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Üye Olduğu Kulüp</w:t>
            </w:r>
          </w:p>
        </w:tc>
        <w:tc>
          <w:tcPr>
            <w:tcW w:w="2410" w:type="dxa"/>
            <w:hideMark/>
          </w:tcPr>
          <w:p w:rsidR="004E690B" w:rsidRPr="004E690B" w:rsidRDefault="004E690B" w:rsidP="004E690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Katıldığı Sosyal Etkinlik/Proje</w:t>
            </w:r>
          </w:p>
        </w:tc>
        <w:bookmarkStart w:id="0" w:name="_GoBack"/>
        <w:bookmarkEnd w:id="0"/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E690B" w:rsidRPr="004E690B" w:rsidTr="004E690B">
        <w:trPr>
          <w:trHeight w:val="300"/>
        </w:trPr>
        <w:tc>
          <w:tcPr>
            <w:tcW w:w="72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E690B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96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248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4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noWrap/>
            <w:hideMark/>
          </w:tcPr>
          <w:p w:rsidR="004E690B" w:rsidRPr="004E690B" w:rsidRDefault="004E690B" w:rsidP="004E690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4E690B" w:rsidRDefault="004E690B" w:rsidP="004E690B">
      <w:pPr>
        <w:jc w:val="center"/>
      </w:pPr>
    </w:p>
    <w:p w:rsidR="004E690B" w:rsidRDefault="004E690B" w:rsidP="004E690B">
      <w:pPr>
        <w:jc w:val="center"/>
      </w:pPr>
    </w:p>
    <w:p w:rsidR="00EC03FF" w:rsidRDefault="00EC03FF"/>
    <w:sectPr w:rsidR="00EC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2B"/>
    <w:rsid w:val="000B580D"/>
    <w:rsid w:val="001D7C52"/>
    <w:rsid w:val="004162BE"/>
    <w:rsid w:val="004E690B"/>
    <w:rsid w:val="005E3657"/>
    <w:rsid w:val="00883D2B"/>
    <w:rsid w:val="009A6700"/>
    <w:rsid w:val="00D64FB8"/>
    <w:rsid w:val="00E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rehberlik</cp:lastModifiedBy>
  <cp:revision>1</cp:revision>
  <cp:lastPrinted>2015-10-01T09:19:00Z</cp:lastPrinted>
  <dcterms:created xsi:type="dcterms:W3CDTF">2015-10-01T07:07:00Z</dcterms:created>
  <dcterms:modified xsi:type="dcterms:W3CDTF">2015-10-01T09:21:00Z</dcterms:modified>
</cp:coreProperties>
</file>